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6A1190" w:rsidRPr="006A1190" w14:paraId="2EDCD1DF" w14:textId="77777777" w:rsidTr="007775FB">
        <w:tc>
          <w:tcPr>
            <w:tcW w:w="9889" w:type="dxa"/>
            <w:shd w:val="clear" w:color="auto" w:fill="auto"/>
          </w:tcPr>
          <w:p w14:paraId="59E5EFC2" w14:textId="6201B81C" w:rsidR="006A1190" w:rsidRPr="006A1190" w:rsidRDefault="006A1190" w:rsidP="006A1190">
            <w:pPr>
              <w:tabs>
                <w:tab w:val="left" w:pos="3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5D874" wp14:editId="5B3381A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0983C6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" strokeweight=".25pt"/>
                  </w:pict>
                </mc:Fallback>
              </mc:AlternateContent>
            </w: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94F59" wp14:editId="49298A8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CAE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4E40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14:paraId="287DAD87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14:paraId="7876CF9C" w14:textId="556D301F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D8020" wp14:editId="5357413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E6341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" strokeweight="2pt"/>
                  </w:pict>
                </mc:Fallback>
              </mc:AlternateContent>
            </w:r>
          </w:p>
          <w:p w14:paraId="01077D0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Таганайская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 г. Златоуст, Челябинская область, 456200, Российская Федерация, </w:t>
            </w:r>
          </w:p>
          <w:p w14:paraId="175411A5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(8-3513) 62-13-55, факс 62-19-44; ИНН7404055537/740401001; (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kspzgo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F359ED8" w14:textId="77777777" w:rsidR="006A1190" w:rsidRPr="000E0796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</w:tcPr>
          <w:p w14:paraId="171B706B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2B46D9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C26F2" w14:textId="77777777" w:rsidR="006A1190" w:rsidRPr="006A1190" w:rsidRDefault="006A1190" w:rsidP="006A119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7A3673FB" w14:textId="2EE490D2" w:rsidR="006A1190" w:rsidRPr="006A1190" w:rsidRDefault="007775FB" w:rsidP="006A1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A1190" w:rsidRPr="00A14BC0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проведения </w:t>
      </w:r>
      <w:r w:rsidR="006A1190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 мероприятия «Анализ результативности мер, принимаемых органами исполнительной власти и органами местного самоуправления Челябинской области, направленных на сокращение объемов и количества объектов незавершенного строительства»</w:t>
      </w:r>
    </w:p>
    <w:p w14:paraId="160C5F4B" w14:textId="77777777" w:rsidR="006A1190" w:rsidRPr="006A1190" w:rsidRDefault="006A1190" w:rsidP="006A119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08481" w14:textId="5FE22479" w:rsidR="006A1190" w:rsidRPr="006A1190" w:rsidRDefault="006A1190" w:rsidP="00567E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Экспертно-аналитическое мероприятие проведено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статьей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пунктом 38 Положения о Контрольно-счетной палате Златоустовского городского округа,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работы Контрольно-счетной палаты на 2021 год.</w:t>
      </w:r>
      <w:r w:rsidRPr="006A1190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 </w:t>
      </w:r>
    </w:p>
    <w:p w14:paraId="55D834E9" w14:textId="3B437E5D" w:rsidR="006A1190" w:rsidRPr="006A1190" w:rsidRDefault="006A1190" w:rsidP="00567E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экспертно-аналитического мероприятия отражены в заключении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41EBA" w14:textId="36277DEE" w:rsidR="006A1190" w:rsidRPr="006A1190" w:rsidRDefault="006A1190" w:rsidP="00567E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экспертно-аналитического мероприятия: </w:t>
      </w:r>
      <w:r w:rsid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объектов незавершенного строительства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мер,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 органами местного самоуправления</w:t>
      </w:r>
      <w:r w:rsid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 им учреждениями, направленных на сокращение объемов и количества объектов незавершенного строительства.</w:t>
      </w:r>
    </w:p>
    <w:p w14:paraId="4EA912B4" w14:textId="77777777" w:rsidR="000E0796" w:rsidRDefault="000E0796" w:rsidP="0056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Златоустовском городском округе вложения в нефинансовые активы (объекты незавершенного строительства) на начало 2019 г. составляли                854 293,2 тыс. рублей,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– 915 354,6 тыс. рублей, на конец 2020 года – 888 447,9 тыс. рублей.</w:t>
      </w:r>
    </w:p>
    <w:p w14:paraId="40741ABD" w14:textId="132CB673" w:rsidR="000E0796" w:rsidRPr="00EE3E08" w:rsidRDefault="000E0796" w:rsidP="0056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7B4B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нефинансовые активы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</w:p>
    <w:p w14:paraId="4EC65CDC" w14:textId="77777777" w:rsidR="000E0796" w:rsidRPr="007B4BEC" w:rsidRDefault="000E0796" w:rsidP="000E079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Ед. изм.: тыс. рублей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1984"/>
      </w:tblGrid>
      <w:tr w:rsidR="000E0796" w:rsidRPr="00EE3E08" w14:paraId="7D6182C4" w14:textId="77777777" w:rsidTr="000E0796">
        <w:tc>
          <w:tcPr>
            <w:tcW w:w="3823" w:type="dxa"/>
            <w:vMerge w:val="restart"/>
          </w:tcPr>
          <w:p w14:paraId="2AE54781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Вложений в нефинансовые активы</w:t>
            </w:r>
          </w:p>
        </w:tc>
        <w:tc>
          <w:tcPr>
            <w:tcW w:w="3827" w:type="dxa"/>
            <w:gridSpan w:val="2"/>
          </w:tcPr>
          <w:p w14:paraId="38F4E2B3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984" w:type="dxa"/>
          </w:tcPr>
          <w:p w14:paraId="25A9C7C4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</w:tr>
      <w:tr w:rsidR="000E0796" w:rsidRPr="00EE3E08" w14:paraId="4C9725FB" w14:textId="77777777" w:rsidTr="000E0796">
        <w:tc>
          <w:tcPr>
            <w:tcW w:w="3823" w:type="dxa"/>
            <w:vMerge/>
          </w:tcPr>
          <w:p w14:paraId="20E28DDE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2E695072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на начало года</w:t>
            </w:r>
          </w:p>
        </w:tc>
        <w:tc>
          <w:tcPr>
            <w:tcW w:w="1985" w:type="dxa"/>
          </w:tcPr>
          <w:p w14:paraId="193FF43E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  <w:tc>
          <w:tcPr>
            <w:tcW w:w="1984" w:type="dxa"/>
          </w:tcPr>
          <w:p w14:paraId="4589A54C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0E0796" w:rsidRPr="00EE3E08" w14:paraId="1B74E10B" w14:textId="77777777" w:rsidTr="000E0796">
        <w:tc>
          <w:tcPr>
            <w:tcW w:w="3823" w:type="dxa"/>
          </w:tcPr>
          <w:p w14:paraId="5D98F210" w14:textId="77777777" w:rsidR="000E0796" w:rsidRPr="00EE3E08" w:rsidRDefault="000E0796" w:rsidP="000E0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1842" w:type="dxa"/>
          </w:tcPr>
          <w:p w14:paraId="4F8B2E85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589 524,6</w:t>
            </w:r>
          </w:p>
        </w:tc>
        <w:tc>
          <w:tcPr>
            <w:tcW w:w="1985" w:type="dxa"/>
          </w:tcPr>
          <w:p w14:paraId="298494EF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600 113,6</w:t>
            </w:r>
          </w:p>
        </w:tc>
        <w:tc>
          <w:tcPr>
            <w:tcW w:w="1984" w:type="dxa"/>
          </w:tcPr>
          <w:p w14:paraId="5E526EE3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589 846,6</w:t>
            </w:r>
          </w:p>
        </w:tc>
      </w:tr>
      <w:tr w:rsidR="000E0796" w:rsidRPr="00EE3E08" w14:paraId="31A0A134" w14:textId="77777777" w:rsidTr="000E0796">
        <w:tc>
          <w:tcPr>
            <w:tcW w:w="3823" w:type="dxa"/>
          </w:tcPr>
          <w:p w14:paraId="6DEA3005" w14:textId="77777777" w:rsidR="000E0796" w:rsidRPr="00EE3E08" w:rsidRDefault="000E0796" w:rsidP="000E0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– особо ценное движимое имущество</w:t>
            </w:r>
          </w:p>
        </w:tc>
        <w:tc>
          <w:tcPr>
            <w:tcW w:w="1842" w:type="dxa"/>
          </w:tcPr>
          <w:p w14:paraId="4C412587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7 874,1</w:t>
            </w:r>
          </w:p>
        </w:tc>
        <w:tc>
          <w:tcPr>
            <w:tcW w:w="1985" w:type="dxa"/>
          </w:tcPr>
          <w:p w14:paraId="7A4993AA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54 471,5</w:t>
            </w:r>
          </w:p>
        </w:tc>
        <w:tc>
          <w:tcPr>
            <w:tcW w:w="1984" w:type="dxa"/>
          </w:tcPr>
          <w:p w14:paraId="73B2E8FA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68 069,1</w:t>
            </w:r>
          </w:p>
        </w:tc>
      </w:tr>
      <w:tr w:rsidR="000E0796" w:rsidRPr="00EE3E08" w14:paraId="2F2E082B" w14:textId="77777777" w:rsidTr="000E0796">
        <w:tc>
          <w:tcPr>
            <w:tcW w:w="3823" w:type="dxa"/>
          </w:tcPr>
          <w:p w14:paraId="7A550E65" w14:textId="77777777" w:rsidR="000E0796" w:rsidRPr="00EE3E08" w:rsidRDefault="000E0796" w:rsidP="000E0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1842" w:type="dxa"/>
          </w:tcPr>
          <w:p w14:paraId="2C1635F9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256 894,5</w:t>
            </w:r>
          </w:p>
        </w:tc>
        <w:tc>
          <w:tcPr>
            <w:tcW w:w="1985" w:type="dxa"/>
          </w:tcPr>
          <w:p w14:paraId="6B215FE8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260 769,4</w:t>
            </w:r>
          </w:p>
        </w:tc>
        <w:tc>
          <w:tcPr>
            <w:tcW w:w="1984" w:type="dxa"/>
          </w:tcPr>
          <w:p w14:paraId="7A6927EF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230 532,2</w:t>
            </w:r>
          </w:p>
        </w:tc>
      </w:tr>
      <w:tr w:rsidR="000E0796" w:rsidRPr="00EE3E08" w14:paraId="3B1C99B3" w14:textId="77777777" w:rsidTr="000E0796">
        <w:tc>
          <w:tcPr>
            <w:tcW w:w="3823" w:type="dxa"/>
          </w:tcPr>
          <w:p w14:paraId="13FC1558" w14:textId="77777777" w:rsidR="000E0796" w:rsidRPr="00EE3E08" w:rsidRDefault="000E0796" w:rsidP="000E079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42" w:type="dxa"/>
          </w:tcPr>
          <w:p w14:paraId="48CB7B87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854 293,2</w:t>
            </w:r>
          </w:p>
        </w:tc>
        <w:tc>
          <w:tcPr>
            <w:tcW w:w="1985" w:type="dxa"/>
          </w:tcPr>
          <w:p w14:paraId="414ECA7A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915 354,6</w:t>
            </w:r>
          </w:p>
        </w:tc>
        <w:tc>
          <w:tcPr>
            <w:tcW w:w="1984" w:type="dxa"/>
          </w:tcPr>
          <w:p w14:paraId="06BA7B66" w14:textId="77777777" w:rsidR="000E0796" w:rsidRPr="00EE3E08" w:rsidRDefault="000E0796" w:rsidP="000E07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E08">
              <w:rPr>
                <w:rFonts w:ascii="Times New Roman" w:eastAsia="Times New Roman" w:hAnsi="Times New Roman" w:cs="Times New Roman"/>
                <w:lang w:eastAsia="ru-RU"/>
              </w:rPr>
              <w:t>888 447,9</w:t>
            </w:r>
          </w:p>
        </w:tc>
      </w:tr>
    </w:tbl>
    <w:p w14:paraId="534130DB" w14:textId="77777777" w:rsidR="000E0796" w:rsidRDefault="000E0796" w:rsidP="000E0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600A08" w14:textId="77777777" w:rsidR="000E0796" w:rsidRDefault="000E0796" w:rsidP="000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DADD9" w14:textId="77777777" w:rsidR="000E0796" w:rsidRDefault="000E0796" w:rsidP="000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3289C" w14:textId="77777777" w:rsidR="000E0796" w:rsidRDefault="000E0796" w:rsidP="000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9CD26" w14:textId="77777777" w:rsidR="000E0796" w:rsidRDefault="000E0796" w:rsidP="000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01AE6" w14:textId="77777777" w:rsidR="000E0796" w:rsidRDefault="000E0796" w:rsidP="000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C30AE" w14:textId="6DA05912" w:rsidR="000E0796" w:rsidRDefault="000E0796" w:rsidP="00567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рисунке представлен состав вложений в нефинансовые активы в виде диаграмм.</w:t>
      </w:r>
    </w:p>
    <w:p w14:paraId="3737D6E9" w14:textId="77777777" w:rsidR="000E0796" w:rsidRPr="00FF4EB2" w:rsidRDefault="000E0796" w:rsidP="000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3C6E2D" w14:textId="77777777" w:rsidR="000E0796" w:rsidRDefault="000E0796" w:rsidP="000E0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5BD26D2" wp14:editId="4D0210BA">
            <wp:extent cx="2895600" cy="22479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5D5F3DF" wp14:editId="528D1D55">
            <wp:extent cx="3209925" cy="2247900"/>
            <wp:effectExtent l="0" t="0" r="9525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5BA3C4" w14:textId="77777777" w:rsidR="000E0796" w:rsidRDefault="000E0796" w:rsidP="000E0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A673F0" w14:textId="77777777" w:rsidR="000E0796" w:rsidRDefault="000E0796" w:rsidP="000E0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BAA0F1" w14:textId="77777777" w:rsidR="000E0796" w:rsidRDefault="000E0796" w:rsidP="000E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80DD139" wp14:editId="1F0F4E85">
            <wp:extent cx="4257675" cy="2047875"/>
            <wp:effectExtent l="0" t="0" r="9525" b="952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0BD852" w14:textId="77777777" w:rsidR="000E0796" w:rsidRDefault="000E0796" w:rsidP="005623F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D765E" w14:textId="77777777" w:rsidR="005623FF" w:rsidRPr="005623FF" w:rsidRDefault="005623FF" w:rsidP="005623F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Златоустовском городском округе в составе незавершенного строительства, числилось:</w:t>
      </w:r>
    </w:p>
    <w:p w14:paraId="4AE2E1D8" w14:textId="77777777" w:rsidR="005623FF" w:rsidRPr="005623FF" w:rsidRDefault="005623FF" w:rsidP="005623F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01.01.2019 - 16 объектов недвижимого имущества с объемом вложений 589 524,5 тыс. рублей; </w:t>
      </w:r>
    </w:p>
    <w:p w14:paraId="7CFEF24F" w14:textId="77777777" w:rsidR="005623FF" w:rsidRPr="005623FF" w:rsidRDefault="005623FF" w:rsidP="005623F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31.12.2019 - 11 объектов недвижимого имущества с объемом вложений 600 113,5 тыс. рублей;                       </w:t>
      </w:r>
    </w:p>
    <w:p w14:paraId="4DF88A37" w14:textId="77777777" w:rsidR="005623FF" w:rsidRDefault="005623FF" w:rsidP="005623F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31.12.2020 - 12 объектов недвижимого имущества с объемом вложений 589 846,6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3DADAC" w14:textId="63489625" w:rsidR="005623FF" w:rsidRDefault="005623FF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принятых на муниципальном уровне правовых актов и представленных в Контрольно-счетную палату ЗГО показал, что в округе правовые акты не содержат положений, направленных на выявление и сокращение объемов незавершенного строительства, а также учет объектов незавершенного строительств</w:t>
      </w:r>
      <w:r w:rsidR="0056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ОНС)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ведение реестра таких объектов на территории муниципального образования. </w:t>
      </w:r>
    </w:p>
    <w:p w14:paraId="75326787" w14:textId="549610CA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7567028"/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причинам и недостаткам, препятствующим сокращению объема и количества ОНС</w:t>
      </w:r>
      <w:r w:rsid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9BA99F5" w14:textId="77777777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полноценного учета ОНС, включающего полную информацию об объемах выполненных работ, сметной стоимости, сроках начала строительства, заказчиках, подрядчиках, ценах контрактов, основаниях для начала строительства и выделения бюджетных средств для финансирования соответствующего объекта, а также о причинах приостановления (прекращения) строительства. </w:t>
      </w:r>
    </w:p>
    <w:p w14:paraId="76B125D7" w14:textId="502A3532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объектов незавершенного строительства осуществляется только в финансовой отчетности, формируемой один раз в год на основании данных двух форм</w:t>
      </w:r>
      <w:r w:rsidR="0056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 и бюджетной отчетности 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0503190, ф.  0503790). Более того, по итогам проведения экспертно-аналитического мероприятия, отмечены отдельные недостатки, технические ошибки при заполнении указанных форм. </w:t>
      </w:r>
    </w:p>
    <w:p w14:paraId="0505A125" w14:textId="45D76630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реестра ОНС является препятствием при принятии взвешенных управленческих решений по оценке возможности завершения строительства </w:t>
      </w:r>
      <w:proofErr w:type="gramStart"/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допускают возможность принятия решений о строительстве новых объектов, аналогичных тем, по которым строительство не закончено и не обеспечено финансированием</w:t>
      </w:r>
      <w:r w:rsidR="0046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1788F" w14:textId="402817E6" w:rsidR="005623FF" w:rsidRPr="005623FF" w:rsidRDefault="005623FF" w:rsidP="00567E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Недостаточность нормативного правового регулирования. Спорным остается вопрос отнесения линейных объектов, котельных к движимому и недвижимому имуществу. По мнению Контрольно-счетной палаты ЗГО, линейные объекты (сети водоснабжения, газоснабжения), газовые котельные, всесезонный пешеходный переход через городской пруд в г. Златоусте, Парк Победы, отраженные балансодержателем </w:t>
      </w:r>
      <w:r w:rsidR="000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движимого имущества </w:t>
      </w:r>
      <w:r w:rsidR="0056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стоимостью </w:t>
      </w:r>
      <w:r w:rsidR="00567E5C"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567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7E5C"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063,5 тыс. рублей</w:t>
      </w:r>
      <w:r w:rsidR="00567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как объекты </w:t>
      </w:r>
      <w:r w:rsidR="000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</w:t>
      </w:r>
    </w:p>
    <w:p w14:paraId="10BAEFD3" w14:textId="77777777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Формальный подход к проведению инвентаризации без оценки состояния объектов незавершенного строительства. </w:t>
      </w:r>
    </w:p>
    <w:p w14:paraId="0858E915" w14:textId="00CEBA08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4)  Работа по формированию (актуализации) и исполнению планов по сокращению ОНС носит несистемный характер, отсутствует механизм контроля о ходе выполнения мероприятий утвержденных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27603" w14:textId="07DCAE8B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Непроведение мероприятий по консервации приостановленных строительством ОНС способствует разрушению и расхищению созданных конструкций, а также снижению прочности и устойчивости объектов под воздействием климатических факторов. Эти факторы требуют корректировки проектно-сметной документации, что в итоге может привести к дополнительным расходам бюджетов бюджетной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63172" w14:textId="5D48627E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неиспользуемых результатов проектно-изыскательских работ и проектно-сметной документации свидетельствует о неэффективном использовании бюджетных средств, поскольку конечный результат, который предусматривает создание объекта капитального строительства, не достигнут, а по истечении нескольких лет соответствующая документация становится неактуальной и потребует либо корректировки, либо разработки новой проектно-сметной документации, что, в свою очередь, приведет к дополнительным бюджетным расходам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C3D2E1" w14:textId="1264C9B5" w:rsidR="005623FF" w:rsidRPr="005623FF" w:rsidRDefault="00567E5C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23FF"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анализа показывают, что системная работа, направленная на сокращение объема и количества ОНС, должным образом не организована.</w:t>
      </w:r>
    </w:p>
    <w:p w14:paraId="467DF43B" w14:textId="1A63A441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экспертно-аналитического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реализации мероприятий, направленных на снижение количества и объемов незавершенного строительства в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Администрации Златоустовского городского округа направлено информационное письмо с рядом предложений,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0F43E3" w14:textId="77777777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орган местного самоуправления, ответственного за организацию учета ОНС;</w:t>
      </w:r>
    </w:p>
    <w:p w14:paraId="09AC4E1C" w14:textId="77777777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разработать порядок учета ОНС муниципальной собственности по аналогии с методическими рекомендациями Министерства экономического развития РФ;</w:t>
      </w:r>
    </w:p>
    <w:p w14:paraId="323D3834" w14:textId="77777777" w:rsidR="005623FF" w:rsidRP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планы поэтапного снижения объема и количества ОНС по объектам, у которых планы отсутствуют. </w:t>
      </w:r>
    </w:p>
    <w:p w14:paraId="77C19806" w14:textId="52292F7A" w:rsidR="005623FF" w:rsidRDefault="005623FF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предложения будут способствовать положительной динамике в решении вопроса, связанного с сокращением объема и количества ОНС.</w:t>
      </w:r>
    </w:p>
    <w:p w14:paraId="110F3F0E" w14:textId="6320D84B" w:rsidR="006A14E9" w:rsidRDefault="006A14E9" w:rsidP="00562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направлены информационные письма МКУ ЗГО «Управление жилищно-коммунального хозяйства», МБУ «Капитальное строительство»,             ОМС «Комитет по управлению имуществом Златоустовского городского округа».</w:t>
      </w:r>
    </w:p>
    <w:bookmarkEnd w:id="0"/>
    <w:p w14:paraId="319C4C1A" w14:textId="77777777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14:paraId="54205763" w14:textId="77777777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77C557EA" w14:textId="77777777" w:rsidR="006A1190" w:rsidRPr="006A1190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A9BE0" w14:textId="0E69F370" w:rsidR="006A1190" w:rsidRPr="006A1190" w:rsidRDefault="007E1CA6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A1190"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1190"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14:paraId="1A964261" w14:textId="77777777" w:rsidR="00AE288F" w:rsidRDefault="00AE288F">
      <w:bookmarkStart w:id="1" w:name="_GoBack"/>
      <w:bookmarkEnd w:id="1"/>
    </w:p>
    <w:sectPr w:rsidR="00AE288F" w:rsidSect="007775F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E0796"/>
    <w:rsid w:val="00461CF8"/>
    <w:rsid w:val="005623FF"/>
    <w:rsid w:val="00567E5C"/>
    <w:rsid w:val="006A1190"/>
    <w:rsid w:val="006A14E9"/>
    <w:rsid w:val="006C2EA5"/>
    <w:rsid w:val="007775FB"/>
    <w:rsid w:val="007D0AB1"/>
    <w:rsid w:val="007E1CA6"/>
    <w:rsid w:val="00A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506088548142009"/>
          <c:y val="4.2466301881756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859649122807015E-3"/>
          <c:y val="0.13980604119400331"/>
          <c:w val="0.78522793203481145"/>
          <c:h val="0.470588994172338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2019 года</c:v>
                </c:pt>
              </c:strCache>
            </c:strRef>
          </c:tx>
          <c:dPt>
            <c:idx val="0"/>
            <c:bubble3D val="0"/>
            <c:spPr>
              <a:pattFill prst="ltDnDiag">
                <a:fgClr>
                  <a:srgbClr val="0070C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B4-4C74-A6A4-15AF65790B23}"/>
              </c:ext>
            </c:extLst>
          </c:dPt>
          <c:dPt>
            <c:idx val="1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B4-4C74-A6A4-15AF65790B23}"/>
              </c:ext>
            </c:extLst>
          </c:dPt>
          <c:dPt>
            <c:idx val="2"/>
            <c:bubble3D val="0"/>
            <c:spPr>
              <a:pattFill prst="pct20">
                <a:fgClr>
                  <a:srgbClr val="00B05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B4-4C74-A6A4-15AF65790B23}"/>
              </c:ext>
            </c:extLst>
          </c:dPt>
          <c:dLbls>
            <c:dLbl>
              <c:idx val="0"/>
              <c:layout>
                <c:manualLayout>
                  <c:x val="7.5982179859096555E-2"/>
                  <c:y val="-5.30606343698563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69%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0655719021964359"/>
                      <c:h val="0.128926553672316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EB4-4C74-A6A4-15AF65790B23}"/>
                </c:ext>
              </c:extLst>
            </c:dLbl>
            <c:dLbl>
              <c:idx val="2"/>
              <c:layout>
                <c:manualLayout>
                  <c:x val="3.0745614035087708E-2"/>
                  <c:y val="-0.120056052315494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EB4-4C74-A6A4-15AF65790B2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Вложения в основные средства - недвижимое имущество</c:v>
                </c:pt>
                <c:pt idx="1">
                  <c:v>Вложения в основные средства - особо ценное движимое имущество</c:v>
                </c:pt>
                <c:pt idx="2">
                  <c:v>Вложения в основные средства -иное движимое имущество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623198.19999999995</c:v>
                </c:pt>
                <c:pt idx="1">
                  <c:v>7874.1</c:v>
                </c:pt>
                <c:pt idx="2">
                  <c:v>223220.9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EB4-4C74-A6A4-15AF65790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9699226785841E-2"/>
          <c:y val="0.62671070777169802"/>
          <c:w val="0.98112298124896546"/>
          <c:h val="0.373289292228301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19792462651031"/>
          <c:y val="0.15490048118985122"/>
          <c:w val="0.81511872962782306"/>
          <c:h val="0.481473778041895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конец 2019 года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rgbClr val="0070C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FB7-46A6-AED5-322944238470}"/>
              </c:ext>
            </c:extLst>
          </c:dPt>
          <c:dPt>
            <c:idx val="1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FB7-46A6-AED5-322944238470}"/>
              </c:ext>
            </c:extLst>
          </c:dPt>
          <c:dPt>
            <c:idx val="2"/>
            <c:bubble3D val="0"/>
            <c:spPr>
              <a:pattFill prst="pct20">
                <a:fgClr>
                  <a:srgbClr val="00B05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FB7-46A6-AED5-322944238470}"/>
              </c:ext>
            </c:extLst>
          </c:dPt>
          <c:dLbls>
            <c:dLbl>
              <c:idx val="0"/>
              <c:layout>
                <c:manualLayout>
                  <c:x val="3.7175790711620985E-2"/>
                  <c:y val="-1.7411361715378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FB7-46A6-AED5-322944238470}"/>
                </c:ext>
              </c:extLst>
            </c:dLbl>
            <c:dLbl>
              <c:idx val="1"/>
              <c:layout>
                <c:manualLayout>
                  <c:x val="-4.3939188610325787E-2"/>
                  <c:y val="-4.04154989100938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B7-46A6-AED5-322944238470}"/>
                </c:ext>
              </c:extLst>
            </c:dLbl>
            <c:dLbl>
              <c:idx val="2"/>
              <c:layout>
                <c:manualLayout>
                  <c:x val="-8.9248035390234973E-2"/>
                  <c:y val="-3.83224342719871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FB7-46A6-AED5-32294423847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Вложения в основные средства - недвижимое имущество</c:v>
                </c:pt>
                <c:pt idx="1">
                  <c:v>Вложения в основные средства - особо ценное движимое имущество</c:v>
                </c:pt>
                <c:pt idx="2">
                  <c:v>Вложения в основные средства -иное движимое имущество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618901.9</c:v>
                </c:pt>
                <c:pt idx="1">
                  <c:v>54471.5</c:v>
                </c:pt>
                <c:pt idx="2">
                  <c:v>241981.2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FB7-46A6-AED5-322944238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766233866784351E-2"/>
          <c:y val="0.63155667805675242"/>
          <c:w val="0.91032665164642035"/>
          <c:h val="0.36844332194324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758233051057305"/>
          <c:y val="4.063994075429368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605518269947804E-2"/>
          <c:y val="0.20356076420679969"/>
          <c:w val="0.87441596646056829"/>
          <c:h val="0.5104608435573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конец 2020 года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rgbClr val="0070C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31-4257-80E1-A09ACBD916F1}"/>
              </c:ext>
            </c:extLst>
          </c:dPt>
          <c:dPt>
            <c:idx val="1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31-4257-80E1-A09ACBD916F1}"/>
              </c:ext>
            </c:extLst>
          </c:dPt>
          <c:dPt>
            <c:idx val="2"/>
            <c:bubble3D val="0"/>
            <c:spPr>
              <a:pattFill prst="pct20">
                <a:fgClr>
                  <a:srgbClr val="00B050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31-4257-80E1-A09ACBD916F1}"/>
              </c:ext>
            </c:extLst>
          </c:dPt>
          <c:dLbls>
            <c:dLbl>
              <c:idx val="0"/>
              <c:layout>
                <c:manualLayout>
                  <c:x val="0.11748229584509483"/>
                  <c:y val="-9.08541619019614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031-4257-80E1-A09ACBD916F1}"/>
                </c:ext>
              </c:extLst>
            </c:dLbl>
            <c:dLbl>
              <c:idx val="2"/>
              <c:layout>
                <c:manualLayout>
                  <c:x val="1.8597533798841163E-2"/>
                  <c:y val="-5.75611243615294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031-4257-80E1-A09ACBD916F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Вложения в основные средства - недвижимое имущество</c:v>
                </c:pt>
                <c:pt idx="1">
                  <c:v>Вложения в основные средства - особо ценное движимое имущество</c:v>
                </c:pt>
                <c:pt idx="2">
                  <c:v>Вложения в основные средства -иное движимое имущество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642474</c:v>
                </c:pt>
                <c:pt idx="1">
                  <c:v>68069.100000000006</c:v>
                </c:pt>
                <c:pt idx="2">
                  <c:v>177904.8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31-4257-80E1-A09ACBD91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016975227089905E-2"/>
          <c:y val="0.75665653421229329"/>
          <c:w val="0.95000017381933222"/>
          <c:h val="0.242802844665163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2021-07-27T11:40:00Z</dcterms:created>
  <dcterms:modified xsi:type="dcterms:W3CDTF">2021-08-02T11:02:00Z</dcterms:modified>
</cp:coreProperties>
</file>